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r>
        <w:rPr>
          <w:rFonts w:ascii="Times New Roman" w:hAnsi="Times New Roman" w:cs="Times New Roman"/>
          <w:color w:val="343434"/>
          <w:sz w:val="30"/>
          <w:szCs w:val="30"/>
        </w:rPr>
        <w:t xml:space="preserve">L’evento è parte della serie </w:t>
      </w:r>
      <w:r>
        <w:rPr>
          <w:rFonts w:ascii="Times New Roman" w:hAnsi="Times New Roman" w:cs="Times New Roman"/>
          <w:i/>
          <w:iCs/>
          <w:color w:val="343434"/>
          <w:sz w:val="30"/>
          <w:szCs w:val="30"/>
        </w:rPr>
        <w:t>Nuove ricerche sulle arti e sulle discipline umanistiche: oriente e occidente.</w:t>
      </w:r>
    </w:p>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r>
        <w:rPr>
          <w:rFonts w:ascii="Times New Roman" w:hAnsi="Times New Roman" w:cs="Times New Roman"/>
          <w:b/>
          <w:bCs/>
          <w:color w:val="343434"/>
          <w:sz w:val="30"/>
          <w:szCs w:val="30"/>
        </w:rPr>
        <w:t xml:space="preserve">Piergiorgio Branzi, Esther </w:t>
      </w:r>
      <w:proofErr w:type="spellStart"/>
      <w:r>
        <w:rPr>
          <w:rFonts w:ascii="Times New Roman" w:hAnsi="Times New Roman" w:cs="Times New Roman"/>
          <w:b/>
          <w:bCs/>
          <w:color w:val="343434"/>
          <w:sz w:val="30"/>
          <w:szCs w:val="30"/>
        </w:rPr>
        <w:t>Bubley</w:t>
      </w:r>
      <w:proofErr w:type="spellEnd"/>
      <w:r>
        <w:rPr>
          <w:rFonts w:ascii="Times New Roman" w:hAnsi="Times New Roman" w:cs="Times New Roman"/>
          <w:b/>
          <w:bCs/>
          <w:color w:val="343434"/>
          <w:sz w:val="30"/>
          <w:szCs w:val="30"/>
        </w:rPr>
        <w:t>, Mario Carbone, Henri Cartier-</w:t>
      </w:r>
      <w:proofErr w:type="spellStart"/>
      <w:r>
        <w:rPr>
          <w:rFonts w:ascii="Times New Roman" w:hAnsi="Times New Roman" w:cs="Times New Roman"/>
          <w:b/>
          <w:bCs/>
          <w:color w:val="343434"/>
          <w:sz w:val="30"/>
          <w:szCs w:val="30"/>
        </w:rPr>
        <w:t>Bresson</w:t>
      </w:r>
      <w:proofErr w:type="spellEnd"/>
      <w:r>
        <w:rPr>
          <w:rFonts w:ascii="Times New Roman" w:hAnsi="Times New Roman" w:cs="Times New Roman"/>
          <w:b/>
          <w:bCs/>
          <w:color w:val="343434"/>
          <w:sz w:val="30"/>
          <w:szCs w:val="30"/>
        </w:rPr>
        <w:t xml:space="preserve">, Mario Cresci, Marjory Collins, Luigi </w:t>
      </w:r>
      <w:proofErr w:type="spellStart"/>
      <w:r>
        <w:rPr>
          <w:rFonts w:ascii="Times New Roman" w:hAnsi="Times New Roman" w:cs="Times New Roman"/>
          <w:b/>
          <w:bCs/>
          <w:color w:val="343434"/>
          <w:sz w:val="30"/>
          <w:szCs w:val="30"/>
        </w:rPr>
        <w:t>Ghirri</w:t>
      </w:r>
      <w:proofErr w:type="spellEnd"/>
      <w:r>
        <w:rPr>
          <w:rFonts w:ascii="Times New Roman" w:hAnsi="Times New Roman" w:cs="Times New Roman"/>
          <w:b/>
          <w:bCs/>
          <w:color w:val="343434"/>
          <w:sz w:val="30"/>
          <w:szCs w:val="30"/>
        </w:rPr>
        <w:t xml:space="preserve">, </w:t>
      </w:r>
      <w:proofErr w:type="spellStart"/>
      <w:r>
        <w:rPr>
          <w:rFonts w:ascii="Times New Roman" w:hAnsi="Times New Roman" w:cs="Times New Roman"/>
          <w:b/>
          <w:bCs/>
          <w:color w:val="343434"/>
          <w:sz w:val="30"/>
          <w:szCs w:val="30"/>
        </w:rPr>
        <w:t>Emmet</w:t>
      </w:r>
      <w:proofErr w:type="spellEnd"/>
      <w:r>
        <w:rPr>
          <w:rFonts w:ascii="Times New Roman" w:hAnsi="Times New Roman" w:cs="Times New Roman"/>
          <w:b/>
          <w:bCs/>
          <w:color w:val="343434"/>
          <w:sz w:val="30"/>
          <w:szCs w:val="30"/>
        </w:rPr>
        <w:t xml:space="preserve"> </w:t>
      </w:r>
      <w:proofErr w:type="spellStart"/>
      <w:r>
        <w:rPr>
          <w:rFonts w:ascii="Times New Roman" w:hAnsi="Times New Roman" w:cs="Times New Roman"/>
          <w:b/>
          <w:bCs/>
          <w:color w:val="343434"/>
          <w:sz w:val="30"/>
          <w:szCs w:val="30"/>
        </w:rPr>
        <w:t>Gowin</w:t>
      </w:r>
      <w:proofErr w:type="spellEnd"/>
      <w:r>
        <w:rPr>
          <w:rFonts w:ascii="Times New Roman" w:hAnsi="Times New Roman" w:cs="Times New Roman"/>
          <w:b/>
          <w:bCs/>
          <w:color w:val="343434"/>
          <w:sz w:val="30"/>
          <w:szCs w:val="30"/>
        </w:rPr>
        <w:t xml:space="preserve">, Fosco Maraini, David Seymour, Augusto Viggiano, </w:t>
      </w:r>
      <w:proofErr w:type="spellStart"/>
      <w:r>
        <w:rPr>
          <w:rFonts w:ascii="Times New Roman" w:hAnsi="Times New Roman" w:cs="Times New Roman"/>
          <w:b/>
          <w:bCs/>
          <w:color w:val="343434"/>
          <w:sz w:val="30"/>
          <w:szCs w:val="30"/>
        </w:rPr>
        <w:t>Carrie</w:t>
      </w:r>
      <w:proofErr w:type="spellEnd"/>
      <w:r>
        <w:rPr>
          <w:rFonts w:ascii="Times New Roman" w:hAnsi="Times New Roman" w:cs="Times New Roman"/>
          <w:b/>
          <w:bCs/>
          <w:color w:val="343434"/>
          <w:sz w:val="30"/>
          <w:szCs w:val="30"/>
        </w:rPr>
        <w:t xml:space="preserve"> </w:t>
      </w:r>
      <w:proofErr w:type="spellStart"/>
      <w:r>
        <w:rPr>
          <w:rFonts w:ascii="Times New Roman" w:hAnsi="Times New Roman" w:cs="Times New Roman"/>
          <w:b/>
          <w:bCs/>
          <w:color w:val="343434"/>
          <w:sz w:val="30"/>
          <w:szCs w:val="30"/>
        </w:rPr>
        <w:t>Mae</w:t>
      </w:r>
      <w:proofErr w:type="spellEnd"/>
      <w:r>
        <w:rPr>
          <w:rFonts w:ascii="Times New Roman" w:hAnsi="Times New Roman" w:cs="Times New Roman"/>
          <w:b/>
          <w:bCs/>
          <w:color w:val="343434"/>
          <w:sz w:val="30"/>
          <w:szCs w:val="30"/>
        </w:rPr>
        <w:t xml:space="preserve"> </w:t>
      </w:r>
      <w:proofErr w:type="spellStart"/>
      <w:r>
        <w:rPr>
          <w:rFonts w:ascii="Times New Roman" w:hAnsi="Times New Roman" w:cs="Times New Roman"/>
          <w:b/>
          <w:bCs/>
          <w:color w:val="343434"/>
          <w:sz w:val="30"/>
          <w:szCs w:val="30"/>
        </w:rPr>
        <w:t>Weems</w:t>
      </w:r>
      <w:proofErr w:type="spellEnd"/>
      <w:r>
        <w:rPr>
          <w:rFonts w:ascii="Times New Roman" w:hAnsi="Times New Roman" w:cs="Times New Roman"/>
          <w:b/>
          <w:bCs/>
          <w:color w:val="343434"/>
          <w:sz w:val="30"/>
          <w:szCs w:val="30"/>
        </w:rPr>
        <w:t xml:space="preserve">, Dan </w:t>
      </w:r>
      <w:proofErr w:type="spellStart"/>
      <w:r>
        <w:rPr>
          <w:rFonts w:ascii="Times New Roman" w:hAnsi="Times New Roman" w:cs="Times New Roman"/>
          <w:b/>
          <w:bCs/>
          <w:color w:val="343434"/>
          <w:sz w:val="30"/>
          <w:szCs w:val="30"/>
        </w:rPr>
        <w:t>Weiner</w:t>
      </w:r>
      <w:proofErr w:type="spellEnd"/>
      <w:r>
        <w:rPr>
          <w:rFonts w:ascii="Times New Roman" w:hAnsi="Times New Roman" w:cs="Times New Roman"/>
          <w:b/>
          <w:bCs/>
          <w:color w:val="343434"/>
          <w:sz w:val="30"/>
          <w:szCs w:val="30"/>
        </w:rPr>
        <w:t xml:space="preserve">, Joseph Williams e </w:t>
      </w:r>
      <w:proofErr w:type="spellStart"/>
      <w:r>
        <w:rPr>
          <w:rFonts w:ascii="Times New Roman" w:hAnsi="Times New Roman" w:cs="Times New Roman"/>
          <w:b/>
          <w:bCs/>
          <w:color w:val="343434"/>
          <w:sz w:val="30"/>
          <w:szCs w:val="30"/>
        </w:rPr>
        <w:t>Yasmin</w:t>
      </w:r>
      <w:proofErr w:type="spellEnd"/>
      <w:r>
        <w:rPr>
          <w:rFonts w:ascii="Times New Roman" w:hAnsi="Times New Roman" w:cs="Times New Roman"/>
          <w:b/>
          <w:bCs/>
          <w:color w:val="343434"/>
          <w:sz w:val="30"/>
          <w:szCs w:val="30"/>
        </w:rPr>
        <w:t xml:space="preserve"> Vobis.</w:t>
      </w:r>
      <w:r>
        <w:rPr>
          <w:rFonts w:ascii="Times New Roman" w:hAnsi="Times New Roman" w:cs="Times New Roman"/>
          <w:color w:val="343434"/>
          <w:sz w:val="30"/>
          <w:szCs w:val="30"/>
        </w:rPr>
        <w:t> </w:t>
      </w:r>
      <w:bookmarkStart w:id="0" w:name="_GoBack"/>
      <w:bookmarkEnd w:id="0"/>
    </w:p>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r>
        <w:rPr>
          <w:rFonts w:ascii="Times New Roman" w:hAnsi="Times New Roman" w:cs="Times New Roman"/>
          <w:color w:val="343434"/>
          <w:sz w:val="30"/>
          <w:szCs w:val="30"/>
        </w:rPr>
        <w:t xml:space="preserve">Organizzata dall'American Academy in Rome, questa mostra mette in evidenza come la fotografia ha inquadrato le percezioni moderne di Matera, una città dell'Italia meridionale, nota per le sue millenarie grotte - abitazioni. Palinsesto di storia e tradizioni caratteristiche della cultura mediterranea, Matera nel ventesimo secolo si è trasformata nell’immaginario collettivo da un antico luogo isolato ai confini della civiltà ad un punto di riferimento culturale per il futuro dell'Europa. Negli anni '40, dopo la pubblicazione del memoriale best seller di Carlo Levi, </w:t>
      </w:r>
      <w:r>
        <w:rPr>
          <w:rFonts w:ascii="Times New Roman" w:hAnsi="Times New Roman" w:cs="Times New Roman"/>
          <w:i/>
          <w:iCs/>
          <w:color w:val="343434"/>
          <w:sz w:val="30"/>
          <w:szCs w:val="30"/>
        </w:rPr>
        <w:t>Cristo si è fermato a Eboli</w:t>
      </w:r>
      <w:r>
        <w:rPr>
          <w:rFonts w:ascii="Times New Roman" w:hAnsi="Times New Roman" w:cs="Times New Roman"/>
          <w:color w:val="343434"/>
          <w:sz w:val="30"/>
          <w:szCs w:val="30"/>
        </w:rPr>
        <w:t>, Matera divenne il simbolo dell’arretratezza del sud dell'Italia. Oggi, poco più di una generazione successiva, Matera è emersa come un modello di autenticità che rappresenterà l'Europa come Capitale della Cultura nel 2019.</w:t>
      </w:r>
    </w:p>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r>
        <w:rPr>
          <w:rFonts w:ascii="Times New Roman" w:hAnsi="Times New Roman" w:cs="Times New Roman"/>
          <w:color w:val="343434"/>
          <w:sz w:val="30"/>
          <w:szCs w:val="30"/>
        </w:rPr>
        <w:t xml:space="preserve">La mostra registra la recente evoluzione di Matera attraverso la fotografia. Per la prima volta mette in evidenza la costante attrattiva della città per i fotografi di tutto il mondo, nonché il loro ruolo fondamentale nella trasformazione di ciò che Levi ha definito la "tragica bellezza" di Matera, in un simbolo di un luogo del Mediterraneo, senza età. Come i registi Pierpaolo Pasolini o Mel Gibson, i quali hanno utilizzato Matera sostituendola a  Gerusalemme, i fotografi che si avventuravano a Matera hanno identificato le abitazioni in grotte con le testimonianze delle origini della civiltà. Allo stesso tempo, come per il New Deal della fotografia negli Stati Uniti, la fotografia a Matera, negli anni del dopoguerra, ha avuto un ruolo decisivo nella definizione della politica pubblica, </w:t>
      </w:r>
      <w:r>
        <w:rPr>
          <w:rFonts w:ascii="Times New Roman" w:hAnsi="Times New Roman" w:cs="Times New Roman"/>
          <w:color w:val="343434"/>
          <w:sz w:val="30"/>
          <w:szCs w:val="30"/>
        </w:rPr>
        <w:lastRenderedPageBreak/>
        <w:t>della riforma territoriale e nel cambiamento sociale. Più recentemente, Matera ha ispirato artisti ad esplorare concetti di fotografia che vanno dalla memoria alla percezione, all'identità e al patrimonio culturale. Con opere di alcuni dei più celebri fotografi del loro tempo, tra cui Henri Cartier-</w:t>
      </w:r>
      <w:proofErr w:type="spellStart"/>
      <w:r>
        <w:rPr>
          <w:rFonts w:ascii="Times New Roman" w:hAnsi="Times New Roman" w:cs="Times New Roman"/>
          <w:color w:val="343434"/>
          <w:sz w:val="30"/>
          <w:szCs w:val="30"/>
        </w:rPr>
        <w:t>Bresson</w:t>
      </w:r>
      <w:proofErr w:type="spellEnd"/>
      <w:r>
        <w:rPr>
          <w:rFonts w:ascii="Times New Roman" w:hAnsi="Times New Roman" w:cs="Times New Roman"/>
          <w:color w:val="343434"/>
          <w:sz w:val="30"/>
          <w:szCs w:val="30"/>
        </w:rPr>
        <w:t xml:space="preserve">, Esther </w:t>
      </w:r>
      <w:proofErr w:type="spellStart"/>
      <w:r>
        <w:rPr>
          <w:rFonts w:ascii="Times New Roman" w:hAnsi="Times New Roman" w:cs="Times New Roman"/>
          <w:color w:val="343434"/>
          <w:sz w:val="30"/>
          <w:szCs w:val="30"/>
        </w:rPr>
        <w:t>Bubley</w:t>
      </w:r>
      <w:proofErr w:type="spellEnd"/>
      <w:r>
        <w:rPr>
          <w:rFonts w:ascii="Times New Roman" w:hAnsi="Times New Roman" w:cs="Times New Roman"/>
          <w:color w:val="343434"/>
          <w:sz w:val="30"/>
          <w:szCs w:val="30"/>
        </w:rPr>
        <w:t xml:space="preserve">, Luigi </w:t>
      </w:r>
      <w:proofErr w:type="spellStart"/>
      <w:r>
        <w:rPr>
          <w:rFonts w:ascii="Times New Roman" w:hAnsi="Times New Roman" w:cs="Times New Roman"/>
          <w:color w:val="343434"/>
          <w:sz w:val="30"/>
          <w:szCs w:val="30"/>
        </w:rPr>
        <w:t>Ghirri</w:t>
      </w:r>
      <w:proofErr w:type="spellEnd"/>
      <w:r>
        <w:rPr>
          <w:rFonts w:ascii="Times New Roman" w:hAnsi="Times New Roman" w:cs="Times New Roman"/>
          <w:color w:val="343434"/>
          <w:sz w:val="30"/>
          <w:szCs w:val="30"/>
        </w:rPr>
        <w:t xml:space="preserve">, </w:t>
      </w:r>
      <w:proofErr w:type="spellStart"/>
      <w:r>
        <w:rPr>
          <w:rFonts w:ascii="Times New Roman" w:hAnsi="Times New Roman" w:cs="Times New Roman"/>
          <w:color w:val="343434"/>
          <w:sz w:val="30"/>
          <w:szCs w:val="30"/>
        </w:rPr>
        <w:t>Emmet</w:t>
      </w:r>
      <w:proofErr w:type="spellEnd"/>
      <w:r>
        <w:rPr>
          <w:rFonts w:ascii="Times New Roman" w:hAnsi="Times New Roman" w:cs="Times New Roman"/>
          <w:color w:val="343434"/>
          <w:sz w:val="30"/>
          <w:szCs w:val="30"/>
        </w:rPr>
        <w:t xml:space="preserve"> </w:t>
      </w:r>
      <w:proofErr w:type="spellStart"/>
      <w:r>
        <w:rPr>
          <w:rFonts w:ascii="Times New Roman" w:hAnsi="Times New Roman" w:cs="Times New Roman"/>
          <w:color w:val="343434"/>
          <w:sz w:val="30"/>
          <w:szCs w:val="30"/>
        </w:rPr>
        <w:t>Gowin</w:t>
      </w:r>
      <w:proofErr w:type="spellEnd"/>
      <w:r>
        <w:rPr>
          <w:rFonts w:ascii="Times New Roman" w:hAnsi="Times New Roman" w:cs="Times New Roman"/>
          <w:color w:val="343434"/>
          <w:sz w:val="30"/>
          <w:szCs w:val="30"/>
        </w:rPr>
        <w:t xml:space="preserve">, David Seymour e </w:t>
      </w:r>
      <w:proofErr w:type="spellStart"/>
      <w:r>
        <w:rPr>
          <w:rFonts w:ascii="Times New Roman" w:hAnsi="Times New Roman" w:cs="Times New Roman"/>
          <w:color w:val="343434"/>
          <w:sz w:val="30"/>
          <w:szCs w:val="30"/>
        </w:rPr>
        <w:t>Carrie</w:t>
      </w:r>
      <w:proofErr w:type="spellEnd"/>
      <w:r>
        <w:rPr>
          <w:rFonts w:ascii="Times New Roman" w:hAnsi="Times New Roman" w:cs="Times New Roman"/>
          <w:color w:val="343434"/>
          <w:sz w:val="30"/>
          <w:szCs w:val="30"/>
        </w:rPr>
        <w:t xml:space="preserve"> </w:t>
      </w:r>
      <w:proofErr w:type="spellStart"/>
      <w:r>
        <w:rPr>
          <w:rFonts w:ascii="Times New Roman" w:hAnsi="Times New Roman" w:cs="Times New Roman"/>
          <w:color w:val="343434"/>
          <w:sz w:val="30"/>
          <w:szCs w:val="30"/>
        </w:rPr>
        <w:t>Mae</w:t>
      </w:r>
      <w:proofErr w:type="spellEnd"/>
      <w:r>
        <w:rPr>
          <w:rFonts w:ascii="Times New Roman" w:hAnsi="Times New Roman" w:cs="Times New Roman"/>
          <w:color w:val="343434"/>
          <w:sz w:val="30"/>
          <w:szCs w:val="30"/>
        </w:rPr>
        <w:t xml:space="preserve"> </w:t>
      </w:r>
      <w:proofErr w:type="spellStart"/>
      <w:r>
        <w:rPr>
          <w:rFonts w:ascii="Times New Roman" w:hAnsi="Times New Roman" w:cs="Times New Roman"/>
          <w:color w:val="343434"/>
          <w:sz w:val="30"/>
          <w:szCs w:val="30"/>
        </w:rPr>
        <w:t>Weems</w:t>
      </w:r>
      <w:proofErr w:type="spellEnd"/>
      <w:r>
        <w:rPr>
          <w:rFonts w:ascii="Times New Roman" w:hAnsi="Times New Roman" w:cs="Times New Roman"/>
          <w:color w:val="343434"/>
          <w:sz w:val="30"/>
          <w:szCs w:val="30"/>
        </w:rPr>
        <w:t xml:space="preserve">, la mostra presenta una nuova narrazione sull'eredità antica di Matera. La mostra è curata da Lindsay Harris, Andrew W. Mellon Professor of the </w:t>
      </w:r>
      <w:proofErr w:type="spellStart"/>
      <w:r>
        <w:rPr>
          <w:rFonts w:ascii="Times New Roman" w:hAnsi="Times New Roman" w:cs="Times New Roman"/>
          <w:color w:val="343434"/>
          <w:sz w:val="30"/>
          <w:szCs w:val="30"/>
        </w:rPr>
        <w:t>Humanities</w:t>
      </w:r>
      <w:proofErr w:type="spellEnd"/>
      <w:r>
        <w:rPr>
          <w:rFonts w:ascii="Times New Roman" w:hAnsi="Times New Roman" w:cs="Times New Roman"/>
          <w:color w:val="343434"/>
          <w:sz w:val="30"/>
          <w:szCs w:val="30"/>
        </w:rPr>
        <w:t xml:space="preserve"> presso l’American Academy in Rome.</w:t>
      </w:r>
    </w:p>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r>
        <w:rPr>
          <w:rFonts w:ascii="Times New Roman" w:hAnsi="Times New Roman" w:cs="Times New Roman"/>
          <w:color w:val="343434"/>
          <w:sz w:val="30"/>
          <w:szCs w:val="30"/>
        </w:rPr>
        <w:t xml:space="preserve">Gli eventi collaterali alla mostra includono un incontro con la curatrice il 16 ottobre, una conferenza di </w:t>
      </w:r>
      <w:proofErr w:type="spellStart"/>
      <w:r>
        <w:rPr>
          <w:rFonts w:ascii="Times New Roman" w:hAnsi="Times New Roman" w:cs="Times New Roman"/>
          <w:color w:val="343434"/>
          <w:sz w:val="30"/>
          <w:szCs w:val="30"/>
        </w:rPr>
        <w:t>Emmet</w:t>
      </w:r>
      <w:proofErr w:type="spellEnd"/>
      <w:r>
        <w:rPr>
          <w:rFonts w:ascii="Times New Roman" w:hAnsi="Times New Roman" w:cs="Times New Roman"/>
          <w:color w:val="343434"/>
          <w:sz w:val="30"/>
          <w:szCs w:val="30"/>
        </w:rPr>
        <w:t xml:space="preserve"> </w:t>
      </w:r>
      <w:proofErr w:type="spellStart"/>
      <w:r>
        <w:rPr>
          <w:rFonts w:ascii="Times New Roman" w:hAnsi="Times New Roman" w:cs="Times New Roman"/>
          <w:color w:val="343434"/>
          <w:sz w:val="30"/>
          <w:szCs w:val="30"/>
        </w:rPr>
        <w:t>Gowin</w:t>
      </w:r>
      <w:proofErr w:type="spellEnd"/>
      <w:r>
        <w:rPr>
          <w:rFonts w:ascii="Times New Roman" w:hAnsi="Times New Roman" w:cs="Times New Roman"/>
          <w:color w:val="343434"/>
          <w:sz w:val="30"/>
          <w:szCs w:val="30"/>
        </w:rPr>
        <w:t xml:space="preserve"> il 14 novembre e una conversazione tra Mario Cresci e Roberta Valtorta il 21 novembre.</w:t>
      </w:r>
    </w:p>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r>
        <w:rPr>
          <w:rFonts w:ascii="Times New Roman" w:hAnsi="Times New Roman" w:cs="Times New Roman"/>
          <w:color w:val="343434"/>
          <w:sz w:val="30"/>
          <w:szCs w:val="30"/>
        </w:rPr>
        <w:t>Durata della mostra: 12 ottobre – 26 novembre 2017</w:t>
      </w:r>
    </w:p>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proofErr w:type="spellStart"/>
      <w:r>
        <w:rPr>
          <w:rFonts w:ascii="Times New Roman" w:hAnsi="Times New Roman" w:cs="Times New Roman"/>
          <w:color w:val="343434"/>
          <w:sz w:val="30"/>
          <w:szCs w:val="30"/>
        </w:rPr>
        <w:t>giovedi</w:t>
      </w:r>
      <w:proofErr w:type="spellEnd"/>
      <w:r>
        <w:rPr>
          <w:rFonts w:ascii="Times New Roman" w:hAnsi="Times New Roman" w:cs="Times New Roman"/>
          <w:color w:val="343434"/>
          <w:sz w:val="30"/>
          <w:szCs w:val="30"/>
        </w:rPr>
        <w:t xml:space="preserve"> - domenica, 16.00-19.00</w:t>
      </w:r>
    </w:p>
    <w:p w:rsidR="00CC1DC6" w:rsidRDefault="00CC1DC6" w:rsidP="00CC1DC6">
      <w:pPr>
        <w:widowControl w:val="0"/>
        <w:autoSpaceDE w:val="0"/>
        <w:autoSpaceDN w:val="0"/>
        <w:adjustRightInd w:val="0"/>
        <w:spacing w:line="360" w:lineRule="auto"/>
        <w:rPr>
          <w:rFonts w:ascii="Times New Roman" w:hAnsi="Times New Roman" w:cs="Times New Roman"/>
          <w:color w:val="343434"/>
          <w:sz w:val="30"/>
          <w:szCs w:val="30"/>
        </w:rPr>
      </w:pPr>
      <w:r>
        <w:rPr>
          <w:rFonts w:ascii="Times New Roman" w:hAnsi="Times New Roman" w:cs="Times New Roman"/>
          <w:color w:val="343434"/>
          <w:sz w:val="30"/>
          <w:szCs w:val="30"/>
        </w:rPr>
        <w:t>Dal 7 dicembre 2017 al 4 febbraio 2018, l’esposizione si trasferirà al Museo nazionale d’arte medievale e moderna, Palazzo Lanfranchi, a Matera come parte delle iniziative celebrative di Matera Capitale Europea della Cultura 2019. La mostra e il catalogo sono stati realizzati grazie alla Fondazione Matera Basilicata 2019.</w:t>
      </w:r>
    </w:p>
    <w:p w:rsidR="00DC4FE2" w:rsidRDefault="00CC1DC6" w:rsidP="00CC1DC6">
      <w:pPr>
        <w:spacing w:line="360" w:lineRule="auto"/>
      </w:pPr>
      <w:r>
        <w:rPr>
          <w:rFonts w:ascii="Times New Roman" w:hAnsi="Times New Roman" w:cs="Times New Roman"/>
          <w:b/>
          <w:bCs/>
          <w:color w:val="343434"/>
          <w:sz w:val="30"/>
          <w:szCs w:val="30"/>
        </w:rPr>
        <w:t>I visitatori dell'American Academy in Rome sono pregati di mostrare un documento d'identità all'ingresso.  Non è possibile accedere con bagagli o zaini di dimensioni superiori a cm 40 x 35 x 15. Non sono disponibili armadietti né guardaroba.</w:t>
      </w:r>
    </w:p>
    <w:sectPr w:rsidR="00DC4FE2"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DC6"/>
    <w:rsid w:val="00CC1DC6"/>
    <w:rsid w:val="00DC4FE2"/>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2891</Characters>
  <Application>Microsoft Macintosh Word</Application>
  <DocSecurity>0</DocSecurity>
  <Lines>24</Lines>
  <Paragraphs>6</Paragraphs>
  <ScaleCrop>false</ScaleCrop>
  <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2017-10-16T21:02:00Z</dcterms:created>
  <dcterms:modified xsi:type="dcterms:W3CDTF">2017-10-16T21:03:00Z</dcterms:modified>
</cp:coreProperties>
</file>